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4A" w:rsidRDefault="00023E4A" w:rsidP="00023E4A">
      <w:pPr>
        <w:adjustRightInd w:val="0"/>
        <w:snapToGrid w:val="0"/>
        <w:spacing w:before="0" w:line="360" w:lineRule="auto"/>
        <w:jc w:val="both"/>
        <w:rPr>
          <w:rFonts w:cs="Times New Roman"/>
          <w:b/>
          <w:bCs/>
          <w:sz w:val="28"/>
          <w:szCs w:val="32"/>
          <w:lang w:eastAsia="zh-CN"/>
        </w:rPr>
      </w:pPr>
      <w:r>
        <w:rPr>
          <w:rFonts w:cs="Times New Roman" w:hint="eastAsia"/>
          <w:b/>
          <w:bCs/>
          <w:sz w:val="28"/>
          <w:szCs w:val="32"/>
          <w:lang w:eastAsia="zh-CN"/>
        </w:rPr>
        <w:t>S</w:t>
      </w:r>
      <w:r>
        <w:rPr>
          <w:rFonts w:cs="Times New Roman"/>
          <w:b/>
          <w:bCs/>
          <w:sz w:val="28"/>
          <w:szCs w:val="32"/>
          <w:lang w:eastAsia="zh-CN"/>
        </w:rPr>
        <w:t>upplementary Material</w:t>
      </w:r>
    </w:p>
    <w:p w:rsidR="00023E4A" w:rsidRDefault="00023E4A" w:rsidP="00023E4A">
      <w:pPr>
        <w:adjustRightInd w:val="0"/>
        <w:snapToGrid w:val="0"/>
        <w:spacing w:before="0" w:line="360" w:lineRule="auto"/>
        <w:jc w:val="both"/>
        <w:rPr>
          <w:rFonts w:cs="Times New Roman"/>
          <w:b/>
          <w:bCs/>
          <w:sz w:val="28"/>
          <w:szCs w:val="32"/>
          <w:lang w:eastAsia="zh-CN"/>
        </w:rPr>
      </w:pPr>
      <w:r>
        <w:rPr>
          <w:rFonts w:cs="Times New Roman"/>
          <w:b/>
          <w:bCs/>
          <w:sz w:val="28"/>
          <w:szCs w:val="32"/>
          <w:lang w:eastAsia="zh-CN"/>
        </w:rPr>
        <w:t>Virologica Sinica</w:t>
      </w:r>
    </w:p>
    <w:p w:rsidR="00023E4A" w:rsidRDefault="00023E4A" w:rsidP="00023E4A">
      <w:pPr>
        <w:adjustRightInd w:val="0"/>
        <w:snapToGrid w:val="0"/>
        <w:spacing w:before="0" w:line="360" w:lineRule="auto"/>
        <w:jc w:val="both"/>
        <w:rPr>
          <w:rStyle w:val="a6"/>
          <w:rFonts w:cs="Times New Roman"/>
          <w:sz w:val="15"/>
        </w:rPr>
      </w:pPr>
      <w:r>
        <w:rPr>
          <w:rFonts w:cs="Times New Roman"/>
          <w:b/>
          <w:bCs/>
          <w:sz w:val="28"/>
          <w:szCs w:val="32"/>
        </w:rPr>
        <w:t>A quadrivalent norovirus vaccine based on a chimpanzee adenovirus vector induces potent immunity in mice</w:t>
      </w:r>
    </w:p>
    <w:p w:rsidR="00023E4A" w:rsidRDefault="00023E4A" w:rsidP="00023E4A">
      <w:pPr>
        <w:adjustRightInd w:val="0"/>
        <w:snapToGrid w:val="0"/>
        <w:spacing w:before="0" w:line="360" w:lineRule="auto"/>
        <w:jc w:val="both"/>
        <w:rPr>
          <w:rStyle w:val="a6"/>
          <w:rFonts w:cs="Times New Roman"/>
          <w:sz w:val="15"/>
        </w:rPr>
      </w:pPr>
    </w:p>
    <w:p w:rsidR="00380D36" w:rsidRDefault="00023E4A" w:rsidP="00023E4A">
      <w:pPr>
        <w:adjustRightInd w:val="0"/>
        <w:snapToGrid w:val="0"/>
        <w:spacing w:before="0" w:line="360" w:lineRule="auto"/>
        <w:jc w:val="both"/>
        <w:rPr>
          <w:rFonts w:cs="Times New Roman"/>
          <w:sz w:val="21"/>
        </w:rPr>
      </w:pPr>
      <w:r>
        <w:rPr>
          <w:rFonts w:cs="Times New Roman"/>
          <w:sz w:val="21"/>
        </w:rPr>
        <w:t xml:space="preserve">Yihua Jiang </w:t>
      </w:r>
      <w:r>
        <w:rPr>
          <w:rFonts w:cs="Times New Roman"/>
          <w:sz w:val="21"/>
          <w:vertAlign w:val="superscript"/>
          <w:lang w:eastAsia="zh-CN"/>
        </w:rPr>
        <w:t>a,1</w:t>
      </w:r>
      <w:r>
        <w:rPr>
          <w:rFonts w:cs="Times New Roman" w:hint="eastAsia"/>
          <w:sz w:val="21"/>
          <w:lang w:eastAsia="zh-CN"/>
        </w:rPr>
        <w:t>,</w:t>
      </w:r>
      <w:r>
        <w:rPr>
          <w:rFonts w:cs="Times New Roman"/>
          <w:sz w:val="21"/>
        </w:rPr>
        <w:t xml:space="preserve"> Lingjin Sun </w:t>
      </w:r>
      <w:r>
        <w:rPr>
          <w:rFonts w:cs="Times New Roman"/>
          <w:sz w:val="21"/>
          <w:vertAlign w:val="superscript"/>
          <w:lang w:eastAsia="zh-CN"/>
        </w:rPr>
        <w:t>a, 1</w:t>
      </w:r>
      <w:r>
        <w:rPr>
          <w:rFonts w:cs="Times New Roman" w:hint="eastAsia"/>
          <w:sz w:val="21"/>
          <w:lang w:eastAsia="zh-CN"/>
        </w:rPr>
        <w:t>,</w:t>
      </w:r>
      <w:r>
        <w:rPr>
          <w:rFonts w:cs="Times New Roman"/>
          <w:sz w:val="21"/>
          <w:vertAlign w:val="superscript"/>
          <w:lang w:eastAsia="zh-CN"/>
        </w:rPr>
        <w:t xml:space="preserve"> </w:t>
      </w:r>
      <w:r>
        <w:rPr>
          <w:rFonts w:cs="Times New Roman"/>
          <w:sz w:val="21"/>
        </w:rPr>
        <w:t xml:space="preserve">Nan Qiao </w:t>
      </w:r>
      <w:r>
        <w:rPr>
          <w:rFonts w:cs="Times New Roman"/>
          <w:sz w:val="21"/>
          <w:vertAlign w:val="superscript"/>
          <w:lang w:eastAsia="zh-CN"/>
        </w:rPr>
        <w:t>a, 1</w:t>
      </w:r>
      <w:r>
        <w:rPr>
          <w:rFonts w:cs="Times New Roman" w:hint="eastAsia"/>
          <w:sz w:val="21"/>
          <w:lang w:eastAsia="zh-CN"/>
        </w:rPr>
        <w:t>,</w:t>
      </w:r>
      <w:r>
        <w:rPr>
          <w:rFonts w:cs="Times New Roman"/>
          <w:sz w:val="21"/>
        </w:rPr>
        <w:t xml:space="preserve"> Xiang Wang </w:t>
      </w:r>
      <w:r>
        <w:rPr>
          <w:rFonts w:cs="Times New Roman"/>
          <w:sz w:val="21"/>
          <w:vertAlign w:val="superscript"/>
          <w:lang w:eastAsia="zh-CN"/>
        </w:rPr>
        <w:t>b</w:t>
      </w:r>
      <w:r>
        <w:rPr>
          <w:rFonts w:cs="Times New Roman" w:hint="eastAsia"/>
          <w:sz w:val="21"/>
          <w:lang w:eastAsia="zh-CN"/>
        </w:rPr>
        <w:t>,</w:t>
      </w:r>
      <w:r>
        <w:rPr>
          <w:rFonts w:cs="Times New Roman"/>
          <w:sz w:val="21"/>
          <w:vertAlign w:val="superscript"/>
          <w:lang w:eastAsia="zh-CN"/>
        </w:rPr>
        <w:t xml:space="preserve"> </w:t>
      </w:r>
      <w:r>
        <w:rPr>
          <w:rFonts w:cs="Times New Roman"/>
          <w:sz w:val="21"/>
        </w:rPr>
        <w:t xml:space="preserve">Caihong Zhu </w:t>
      </w:r>
      <w:r>
        <w:rPr>
          <w:rFonts w:cs="Times New Roman"/>
          <w:sz w:val="21"/>
          <w:vertAlign w:val="superscript"/>
          <w:lang w:eastAsia="zh-CN"/>
        </w:rPr>
        <w:t>b</w:t>
      </w:r>
      <w:r>
        <w:rPr>
          <w:rFonts w:cs="Times New Roman" w:hint="eastAsia"/>
          <w:sz w:val="21"/>
          <w:lang w:eastAsia="zh-CN"/>
        </w:rPr>
        <w:t>,</w:t>
      </w:r>
      <w:r>
        <w:rPr>
          <w:rFonts w:cs="Times New Roman"/>
          <w:sz w:val="21"/>
        </w:rPr>
        <w:t xml:space="preserve"> Man Xing </w:t>
      </w:r>
      <w:r>
        <w:rPr>
          <w:rFonts w:cs="Times New Roman"/>
          <w:sz w:val="21"/>
          <w:vertAlign w:val="superscript"/>
          <w:lang w:eastAsia="zh-CN"/>
        </w:rPr>
        <w:t>a, b</w:t>
      </w:r>
      <w:r>
        <w:rPr>
          <w:rFonts w:cs="Times New Roman" w:hint="eastAsia"/>
          <w:sz w:val="21"/>
          <w:lang w:eastAsia="zh-CN"/>
        </w:rPr>
        <w:t>,</w:t>
      </w:r>
      <w:r>
        <w:rPr>
          <w:rFonts w:cs="Times New Roman"/>
          <w:sz w:val="21"/>
        </w:rPr>
        <w:t xml:space="preserve"> Hui Liu </w:t>
      </w:r>
      <w:r>
        <w:rPr>
          <w:rFonts w:cs="Times New Roman"/>
          <w:sz w:val="21"/>
          <w:vertAlign w:val="superscript"/>
          <w:lang w:eastAsia="zh-CN"/>
        </w:rPr>
        <w:t>c, *</w:t>
      </w:r>
      <w:r>
        <w:rPr>
          <w:rFonts w:cs="Times New Roman" w:hint="eastAsia"/>
          <w:sz w:val="21"/>
          <w:lang w:eastAsia="zh-CN"/>
        </w:rPr>
        <w:t xml:space="preserve"> ,</w:t>
      </w:r>
      <w:r>
        <w:rPr>
          <w:rFonts w:cs="Times New Roman"/>
          <w:sz w:val="21"/>
        </w:rPr>
        <w:t xml:space="preserve"> </w:t>
      </w:r>
    </w:p>
    <w:p w:rsidR="00023E4A" w:rsidRDefault="00023E4A" w:rsidP="00023E4A">
      <w:pPr>
        <w:adjustRightInd w:val="0"/>
        <w:snapToGrid w:val="0"/>
        <w:spacing w:before="0" w:line="360" w:lineRule="auto"/>
        <w:jc w:val="both"/>
        <w:rPr>
          <w:rFonts w:cs="Times New Roman"/>
          <w:sz w:val="21"/>
          <w:vertAlign w:val="superscript"/>
          <w:lang w:eastAsia="zh-CN"/>
        </w:rPr>
      </w:pPr>
      <w:r>
        <w:rPr>
          <w:rFonts w:cs="Times New Roman"/>
          <w:sz w:val="21"/>
        </w:rPr>
        <w:t>Ping Zhou</w:t>
      </w:r>
      <w:r>
        <w:rPr>
          <w:rFonts w:cs="Times New Roman"/>
          <w:sz w:val="21"/>
          <w:lang w:eastAsia="zh-CN"/>
        </w:rPr>
        <w:t xml:space="preserve"> </w:t>
      </w:r>
      <w:r>
        <w:rPr>
          <w:rFonts w:cs="Times New Roman"/>
          <w:sz w:val="21"/>
          <w:vertAlign w:val="superscript"/>
          <w:lang w:eastAsia="zh-CN"/>
        </w:rPr>
        <w:t>a, d, *</w:t>
      </w:r>
      <w:r>
        <w:rPr>
          <w:rFonts w:cs="Times New Roman"/>
          <w:sz w:val="21"/>
          <w:lang w:eastAsia="zh-CN"/>
        </w:rPr>
        <w:t xml:space="preserve">, </w:t>
      </w:r>
      <w:r>
        <w:rPr>
          <w:rFonts w:cs="Times New Roman"/>
          <w:sz w:val="21"/>
        </w:rPr>
        <w:t xml:space="preserve">Dongming Zhou </w:t>
      </w:r>
      <w:r>
        <w:rPr>
          <w:rFonts w:cs="Times New Roman"/>
          <w:sz w:val="21"/>
          <w:vertAlign w:val="superscript"/>
          <w:lang w:eastAsia="zh-CN"/>
        </w:rPr>
        <w:t>a, b, *</w:t>
      </w:r>
    </w:p>
    <w:p w:rsidR="00023E4A" w:rsidRDefault="00023E4A" w:rsidP="00023E4A">
      <w:pPr>
        <w:adjustRightInd w:val="0"/>
        <w:snapToGrid w:val="0"/>
        <w:spacing w:before="0" w:line="360" w:lineRule="auto"/>
        <w:jc w:val="both"/>
        <w:rPr>
          <w:rFonts w:cs="Times New Roman"/>
          <w:sz w:val="21"/>
        </w:rPr>
      </w:pPr>
      <w:r>
        <w:rPr>
          <w:rFonts w:cs="Times New Roman"/>
          <w:sz w:val="21"/>
          <w:vertAlign w:val="superscript"/>
          <w:lang w:eastAsia="zh-CN"/>
        </w:rPr>
        <w:t>a</w:t>
      </w:r>
      <w:r>
        <w:rPr>
          <w:rFonts w:cs="Times New Roman"/>
          <w:sz w:val="21"/>
        </w:rPr>
        <w:t>Department of Pathogen Biology, School of Basic Medical Sciences, Tianjin Medical University, Tianjin, 300070, China.</w:t>
      </w:r>
    </w:p>
    <w:p w:rsidR="00023E4A" w:rsidRDefault="00023E4A" w:rsidP="00023E4A">
      <w:pPr>
        <w:adjustRightInd w:val="0"/>
        <w:snapToGrid w:val="0"/>
        <w:spacing w:before="0" w:line="360" w:lineRule="auto"/>
        <w:jc w:val="both"/>
        <w:rPr>
          <w:rFonts w:cs="Times New Roman"/>
          <w:sz w:val="21"/>
          <w:lang w:eastAsia="zh-CN"/>
        </w:rPr>
      </w:pPr>
      <w:r>
        <w:rPr>
          <w:rFonts w:cs="Times New Roman"/>
          <w:sz w:val="21"/>
          <w:vertAlign w:val="superscript"/>
          <w:lang w:eastAsia="zh-CN"/>
        </w:rPr>
        <w:t xml:space="preserve">b </w:t>
      </w:r>
      <w:r>
        <w:rPr>
          <w:rFonts w:cs="Times New Roman"/>
          <w:sz w:val="21"/>
          <w:lang w:eastAsia="zh-CN"/>
        </w:rPr>
        <w:t>Shanghai Public Health Clinical Center, Fudan University, Shanghai, 201508, China.</w:t>
      </w:r>
    </w:p>
    <w:p w:rsidR="00023E4A" w:rsidRDefault="00023E4A" w:rsidP="00023E4A">
      <w:pPr>
        <w:adjustRightInd w:val="0"/>
        <w:snapToGrid w:val="0"/>
        <w:spacing w:before="0" w:line="360" w:lineRule="auto"/>
        <w:jc w:val="both"/>
        <w:rPr>
          <w:rFonts w:cs="Times New Roman"/>
          <w:sz w:val="21"/>
          <w:lang w:eastAsia="zh-CN"/>
        </w:rPr>
      </w:pPr>
      <w:r>
        <w:rPr>
          <w:rFonts w:cs="Times New Roman"/>
          <w:sz w:val="21"/>
          <w:vertAlign w:val="superscript"/>
          <w:lang w:eastAsia="zh-CN"/>
        </w:rPr>
        <w:t xml:space="preserve">c </w:t>
      </w:r>
      <w:r>
        <w:rPr>
          <w:rFonts w:cs="Times New Roman"/>
          <w:sz w:val="21"/>
          <w:lang w:eastAsia="zh-CN"/>
        </w:rPr>
        <w:t xml:space="preserve">R&amp;D Centre, Chengdu Kanghua Biological Products Co., Ltd, , Chengdu, 610000, China. </w:t>
      </w:r>
    </w:p>
    <w:p w:rsidR="00023E4A" w:rsidRDefault="00023E4A" w:rsidP="00023E4A">
      <w:pPr>
        <w:adjustRightInd w:val="0"/>
        <w:snapToGrid w:val="0"/>
        <w:spacing w:before="0" w:line="360" w:lineRule="auto"/>
        <w:jc w:val="both"/>
        <w:rPr>
          <w:rFonts w:cs="Times New Roman"/>
          <w:sz w:val="21"/>
          <w:lang w:eastAsia="zh-CN"/>
        </w:rPr>
      </w:pPr>
      <w:r>
        <w:rPr>
          <w:rFonts w:cs="Times New Roman"/>
          <w:sz w:val="21"/>
          <w:vertAlign w:val="superscript"/>
          <w:lang w:eastAsia="zh-CN"/>
        </w:rPr>
        <w:t xml:space="preserve">d </w:t>
      </w:r>
      <w:r>
        <w:rPr>
          <w:rFonts w:cs="Times New Roman"/>
          <w:sz w:val="21"/>
          <w:lang w:eastAsia="zh-CN"/>
        </w:rPr>
        <w:t>Institut Pasteur of Shanghai, Chinese Academy of Sciences, Shanghai, 200031, China.</w:t>
      </w:r>
    </w:p>
    <w:p w:rsidR="00023E4A" w:rsidRDefault="00023E4A" w:rsidP="00023E4A">
      <w:pPr>
        <w:adjustRightInd w:val="0"/>
        <w:snapToGrid w:val="0"/>
        <w:spacing w:before="0" w:line="360" w:lineRule="auto"/>
        <w:jc w:val="both"/>
        <w:rPr>
          <w:rFonts w:cs="Times New Roman"/>
          <w:sz w:val="21"/>
          <w:lang w:eastAsia="zh-CN"/>
        </w:rPr>
      </w:pPr>
    </w:p>
    <w:p w:rsidR="00023E4A" w:rsidRDefault="00023E4A" w:rsidP="00023E4A">
      <w:pPr>
        <w:adjustRightInd w:val="0"/>
        <w:snapToGrid w:val="0"/>
        <w:spacing w:before="0" w:after="0" w:line="360" w:lineRule="auto"/>
        <w:jc w:val="both"/>
        <w:rPr>
          <w:rFonts w:cs="Times New Roman"/>
          <w:sz w:val="21"/>
          <w:lang w:eastAsia="zh-CN"/>
        </w:rPr>
      </w:pPr>
      <w:r>
        <w:rPr>
          <w:rFonts w:cs="Times New Roman"/>
          <w:sz w:val="21"/>
          <w:lang w:eastAsia="zh-CN"/>
        </w:rPr>
        <w:t xml:space="preserve">*Corresponding authors. </w:t>
      </w:r>
    </w:p>
    <w:p w:rsidR="00023E4A" w:rsidRDefault="00023E4A" w:rsidP="00023E4A">
      <w:pPr>
        <w:adjustRightInd w:val="0"/>
        <w:snapToGrid w:val="0"/>
        <w:spacing w:before="0" w:after="0" w:line="360" w:lineRule="auto"/>
        <w:jc w:val="both"/>
        <w:rPr>
          <w:rFonts w:cs="Times New Roman"/>
          <w:sz w:val="21"/>
          <w:lang w:eastAsia="zh-CN"/>
        </w:rPr>
      </w:pPr>
      <w:r>
        <w:rPr>
          <w:rFonts w:cs="Times New Roman"/>
          <w:sz w:val="21"/>
          <w:lang w:eastAsia="zh-CN"/>
        </w:rPr>
        <w:t xml:space="preserve">Email address: </w:t>
      </w:r>
      <w:bookmarkStart w:id="0" w:name="OLE_LINK8"/>
      <w:bookmarkStart w:id="1" w:name="OLE_LINK9"/>
      <w:r>
        <w:rPr>
          <w:rFonts w:cs="Times New Roman"/>
          <w:sz w:val="21"/>
          <w:lang w:eastAsia="zh-CN"/>
        </w:rPr>
        <w:t xml:space="preserve">zhoudongming@tmu.edu.cn </w:t>
      </w:r>
      <w:bookmarkEnd w:id="0"/>
      <w:bookmarkEnd w:id="1"/>
      <w:r>
        <w:rPr>
          <w:rFonts w:cs="Times New Roman"/>
          <w:sz w:val="21"/>
          <w:lang w:eastAsia="zh-CN"/>
        </w:rPr>
        <w:t>(D. Zhou), 17317825924@163.com (P. Zhou), liuhui@kangh.com (H. Liu)</w:t>
      </w:r>
    </w:p>
    <w:p w:rsidR="00023E4A" w:rsidRDefault="00023E4A" w:rsidP="00023E4A">
      <w:pPr>
        <w:rPr>
          <w:rFonts w:cs="Times New Roman"/>
          <w:sz w:val="21"/>
          <w:lang w:eastAsia="zh-CN"/>
        </w:rPr>
      </w:pPr>
      <w:r>
        <w:rPr>
          <w:rFonts w:cs="Times New Roman"/>
          <w:sz w:val="21"/>
          <w:lang w:eastAsia="zh-CN"/>
        </w:rPr>
        <w:t>ORCID:</w:t>
      </w:r>
      <w:r>
        <w:rPr>
          <w:rFonts w:cs="Times New Roman" w:hint="eastAsia"/>
          <w:sz w:val="21"/>
          <w:lang w:eastAsia="zh-CN"/>
        </w:rPr>
        <w:t xml:space="preserve"> 0000-0002-5989-7591</w:t>
      </w:r>
      <w:r>
        <w:rPr>
          <w:rFonts w:cs="Times New Roman"/>
          <w:sz w:val="21"/>
          <w:lang w:eastAsia="zh-CN"/>
        </w:rPr>
        <w:t xml:space="preserve"> (D. Zhou)</w:t>
      </w:r>
    </w:p>
    <w:p w:rsidR="00023E4A" w:rsidRDefault="00023E4A" w:rsidP="00023E4A">
      <w:pPr>
        <w:adjustRightInd w:val="0"/>
        <w:snapToGrid w:val="0"/>
        <w:spacing w:before="0" w:after="0" w:line="360" w:lineRule="auto"/>
        <w:jc w:val="both"/>
        <w:rPr>
          <w:rFonts w:cs="Times New Roman"/>
          <w:sz w:val="21"/>
          <w:lang w:eastAsia="zh-CN"/>
        </w:rPr>
      </w:pPr>
    </w:p>
    <w:p w:rsidR="00023E4A" w:rsidRDefault="00023E4A" w:rsidP="00023E4A">
      <w:pPr>
        <w:adjustRightInd w:val="0"/>
        <w:snapToGrid w:val="0"/>
        <w:spacing w:before="0" w:after="0" w:line="360" w:lineRule="auto"/>
        <w:jc w:val="both"/>
        <w:rPr>
          <w:rStyle w:val="a6"/>
          <w:rFonts w:cs="Times New Roman"/>
          <w:sz w:val="15"/>
        </w:rPr>
      </w:pPr>
      <w:r>
        <w:rPr>
          <w:rFonts w:cs="Times New Roman"/>
          <w:sz w:val="21"/>
          <w:vertAlign w:val="superscript"/>
          <w:lang w:eastAsia="zh-CN"/>
        </w:rPr>
        <w:t xml:space="preserve">1 </w:t>
      </w:r>
      <w:r>
        <w:rPr>
          <w:rFonts w:cs="Times New Roman"/>
          <w:sz w:val="21"/>
        </w:rPr>
        <w:t>Yihua Jiang</w:t>
      </w:r>
      <w:r>
        <w:rPr>
          <w:rFonts w:cs="Times New Roman"/>
          <w:sz w:val="21"/>
          <w:lang w:eastAsia="zh-CN"/>
        </w:rPr>
        <w:t xml:space="preserve">, </w:t>
      </w:r>
      <w:r>
        <w:rPr>
          <w:rFonts w:cs="Times New Roman"/>
          <w:sz w:val="21"/>
        </w:rPr>
        <w:t>Lingjin Sun,</w:t>
      </w:r>
      <w:r>
        <w:rPr>
          <w:rFonts w:cs="Times New Roman"/>
          <w:sz w:val="21"/>
          <w:lang w:eastAsia="zh-CN"/>
        </w:rPr>
        <w:t xml:space="preserve"> and </w:t>
      </w:r>
      <w:r>
        <w:rPr>
          <w:rFonts w:cs="Times New Roman"/>
          <w:sz w:val="21"/>
        </w:rPr>
        <w:t>Nan Qiao</w:t>
      </w:r>
      <w:r>
        <w:rPr>
          <w:rFonts w:cs="Times New Roman"/>
          <w:sz w:val="21"/>
          <w:lang w:eastAsia="zh-CN"/>
        </w:rPr>
        <w:t xml:space="preserve"> contributed equally to this work.</w:t>
      </w:r>
    </w:p>
    <w:p w:rsidR="00023E4A" w:rsidRPr="00023E4A" w:rsidRDefault="00023E4A" w:rsidP="00023E4A">
      <w:pPr>
        <w:jc w:val="both"/>
        <w:rPr>
          <w:b/>
          <w:sz w:val="22"/>
          <w:lang w:eastAsia="zh-CN"/>
        </w:rPr>
      </w:pPr>
    </w:p>
    <w:p w:rsidR="00023E4A" w:rsidRDefault="00023E4A" w:rsidP="00023E4A">
      <w:pPr>
        <w:jc w:val="both"/>
        <w:rPr>
          <w:b/>
          <w:sz w:val="22"/>
          <w:lang w:eastAsia="zh-CN"/>
        </w:rPr>
      </w:pPr>
    </w:p>
    <w:p w:rsidR="00023E4A" w:rsidRDefault="00023E4A" w:rsidP="00023E4A">
      <w:pPr>
        <w:jc w:val="both"/>
        <w:rPr>
          <w:b/>
          <w:sz w:val="22"/>
          <w:lang w:eastAsia="zh-CN"/>
        </w:rPr>
        <w:sectPr w:rsidR="00023E4A" w:rsidSect="00023E4A">
          <w:pgSz w:w="11906" w:h="16838"/>
          <w:pgMar w:top="1440" w:right="1080" w:bottom="1440" w:left="1080" w:header="851" w:footer="851" w:gutter="0"/>
          <w:cols w:space="425"/>
          <w:docGrid w:linePitch="326"/>
        </w:sectPr>
      </w:pPr>
    </w:p>
    <w:p w:rsidR="00023E4A" w:rsidRDefault="00DE1384" w:rsidP="00023E4A">
      <w:pPr>
        <w:jc w:val="both"/>
        <w:rPr>
          <w:b/>
          <w:sz w:val="22"/>
          <w:lang w:eastAsia="zh-CN"/>
        </w:rPr>
      </w:pPr>
      <w:bookmarkStart w:id="2" w:name="_GoBack"/>
      <w:r w:rsidRPr="00DE1384">
        <w:rPr>
          <w:b/>
          <w:noProof/>
          <w:sz w:val="22"/>
          <w:lang w:eastAsia="zh-CN"/>
        </w:rPr>
        <w:lastRenderedPageBreak/>
        <w:drawing>
          <wp:inline distT="0" distB="0" distL="0" distR="0">
            <wp:extent cx="5828093" cy="7007962"/>
            <wp:effectExtent l="0" t="0" r="1270" b="2540"/>
            <wp:docPr id="1" name="图片 1" descr="F:\VS 稿件\2024 publication\2024 Issue 4\6585-299-2024.07.002\6585 R3\6585 to prod\6585 supplementary_f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S 稿件\2024 publication\2024 Issue 4\6585-299-2024.07.002\6585 R3\6585 to prod\6585 supplementary_fig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125" cy="701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023E4A" w:rsidRDefault="00023E4A" w:rsidP="00023E4A">
      <w:pPr>
        <w:adjustRightInd w:val="0"/>
        <w:snapToGrid w:val="0"/>
        <w:spacing w:before="0" w:after="0" w:line="360" w:lineRule="auto"/>
        <w:jc w:val="both"/>
        <w:rPr>
          <w:rFonts w:cs="Times New Roman"/>
          <w:bCs/>
          <w:color w:val="000000" w:themeColor="text1"/>
          <w:sz w:val="21"/>
          <w:szCs w:val="21"/>
        </w:rPr>
      </w:pPr>
      <w:r w:rsidRPr="004F0795">
        <w:rPr>
          <w:rFonts w:hint="eastAsia"/>
          <w:b/>
          <w:sz w:val="22"/>
          <w:lang w:eastAsia="zh-CN"/>
        </w:rPr>
        <w:t>F</w:t>
      </w:r>
      <w:r w:rsidRPr="004F0795">
        <w:rPr>
          <w:b/>
          <w:sz w:val="22"/>
          <w:lang w:eastAsia="zh-CN"/>
        </w:rPr>
        <w:t>ig. S1</w:t>
      </w:r>
      <w:r w:rsidRPr="004F0795">
        <w:rPr>
          <w:rFonts w:hint="eastAsia"/>
          <w:b/>
          <w:sz w:val="21"/>
          <w:szCs w:val="21"/>
          <w:lang w:eastAsia="zh-CN"/>
        </w:rPr>
        <w:t xml:space="preserve"> </w:t>
      </w:r>
      <w:r>
        <w:rPr>
          <w:rFonts w:cs="Times New Roman"/>
          <w:bCs/>
          <w:color w:val="000000" w:themeColor="text1"/>
          <w:sz w:val="21"/>
          <w:szCs w:val="21"/>
        </w:rPr>
        <w:t>Expression of</w:t>
      </w:r>
      <w:r w:rsidRPr="004F0795"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 w:rsidRPr="000A673F">
        <w:rPr>
          <w:rFonts w:cs="Times New Roman"/>
          <w:sz w:val="21"/>
          <w:szCs w:val="21"/>
        </w:rPr>
        <w:t>GⅡ.</w:t>
      </w:r>
      <w:r w:rsidRPr="000A673F">
        <w:rPr>
          <w:rFonts w:cs="Times New Roman" w:hint="eastAsia"/>
          <w:sz w:val="21"/>
          <w:szCs w:val="21"/>
        </w:rPr>
        <w:t>4</w:t>
      </w:r>
      <w:r>
        <w:rPr>
          <w:rFonts w:cs="Times New Roman"/>
          <w:sz w:val="21"/>
          <w:szCs w:val="21"/>
        </w:rPr>
        <w:t xml:space="preserve"> and </w:t>
      </w:r>
      <w:r w:rsidRPr="004F0795">
        <w:rPr>
          <w:rFonts w:cs="Times New Roman"/>
          <w:bCs/>
          <w:color w:val="000000" w:themeColor="text1"/>
          <w:sz w:val="21"/>
          <w:szCs w:val="21"/>
        </w:rPr>
        <w:t>GII.17 VP1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protein </w:t>
      </w:r>
      <w:r w:rsidRPr="004F0795">
        <w:rPr>
          <w:rFonts w:cs="Times New Roman"/>
          <w:bCs/>
          <w:color w:val="000000" w:themeColor="text1"/>
          <w:sz w:val="21"/>
          <w:szCs w:val="21"/>
        </w:rPr>
        <w:t xml:space="preserve">analyzed by Western blot. </w:t>
      </w:r>
      <w:r w:rsidRPr="004F0795">
        <w:rPr>
          <w:rFonts w:cs="Times New Roman"/>
          <w:color w:val="000000" w:themeColor="text1"/>
          <w:sz w:val="21"/>
          <w:szCs w:val="21"/>
        </w:rPr>
        <w:t>The HEK 293 cells were infected with the indicated adenoviruses at 5 × 10</w:t>
      </w:r>
      <w:r w:rsidRPr="004F0795">
        <w:rPr>
          <w:rFonts w:cs="Times New Roman"/>
          <w:color w:val="000000" w:themeColor="text1"/>
          <w:sz w:val="21"/>
          <w:szCs w:val="21"/>
          <w:vertAlign w:val="superscript"/>
        </w:rPr>
        <w:t>6</w:t>
      </w:r>
      <w:r w:rsidRPr="004F0795">
        <w:rPr>
          <w:rFonts w:cs="Times New Roman"/>
          <w:color w:val="000000" w:themeColor="text1"/>
          <w:sz w:val="21"/>
          <w:szCs w:val="21"/>
        </w:rPr>
        <w:t xml:space="preserve"> infectious unites (IFU). AdC68-empty-transduced (</w:t>
      </w:r>
      <w:r w:rsidRPr="004F0795">
        <w:rPr>
          <w:rFonts w:cs="Times New Roman" w:hint="eastAsia"/>
          <w:color w:val="000000" w:themeColor="text1"/>
          <w:sz w:val="21"/>
          <w:szCs w:val="21"/>
        </w:rPr>
        <w:t xml:space="preserve">5 </w:t>
      </w:r>
      <w:r w:rsidRPr="004F0795">
        <w:rPr>
          <w:rFonts w:cs="Times New Roman" w:hint="eastAsia"/>
          <w:color w:val="000000" w:themeColor="text1"/>
          <w:sz w:val="21"/>
          <w:szCs w:val="21"/>
        </w:rPr>
        <w:t>×</w:t>
      </w:r>
      <w:r w:rsidRPr="004F0795">
        <w:rPr>
          <w:rFonts w:cs="Times New Roman" w:hint="eastAsia"/>
          <w:color w:val="000000" w:themeColor="text1"/>
          <w:sz w:val="21"/>
          <w:szCs w:val="21"/>
        </w:rPr>
        <w:t xml:space="preserve"> </w:t>
      </w:r>
      <w:r w:rsidRPr="004F0795">
        <w:rPr>
          <w:rFonts w:cs="Times New Roman"/>
          <w:color w:val="000000" w:themeColor="text1"/>
          <w:sz w:val="21"/>
          <w:szCs w:val="21"/>
        </w:rPr>
        <w:t>10</w:t>
      </w:r>
      <w:r w:rsidRPr="004F0795">
        <w:rPr>
          <w:rFonts w:cs="Times New Roman"/>
          <w:color w:val="000000" w:themeColor="text1"/>
          <w:sz w:val="21"/>
          <w:szCs w:val="21"/>
          <w:vertAlign w:val="superscript"/>
        </w:rPr>
        <w:t>6</w:t>
      </w:r>
      <w:r w:rsidRPr="004F0795">
        <w:rPr>
          <w:rFonts w:cs="Times New Roman"/>
          <w:color w:val="000000" w:themeColor="text1"/>
          <w:sz w:val="21"/>
          <w:szCs w:val="21"/>
        </w:rPr>
        <w:t xml:space="preserve"> IFU) HEK293 cells were</w:t>
      </w:r>
      <w:r w:rsidRPr="004F0795">
        <w:rPr>
          <w:rFonts w:cs="Times New Roman" w:hint="eastAsia"/>
          <w:color w:val="000000" w:themeColor="text1"/>
          <w:sz w:val="21"/>
          <w:szCs w:val="21"/>
        </w:rPr>
        <w:t xml:space="preserve"> </w:t>
      </w:r>
      <w:r w:rsidRPr="004F0795">
        <w:rPr>
          <w:rFonts w:cs="Times New Roman"/>
          <w:color w:val="000000" w:themeColor="text1"/>
          <w:sz w:val="21"/>
          <w:szCs w:val="21"/>
        </w:rPr>
        <w:t>used as control</w:t>
      </w:r>
      <w:r w:rsidRPr="004F0795">
        <w:rPr>
          <w:rFonts w:cs="Times New Roman" w:hint="eastAsia"/>
          <w:color w:val="000000" w:themeColor="text1"/>
          <w:sz w:val="21"/>
          <w:szCs w:val="21"/>
        </w:rPr>
        <w:t>s.</w:t>
      </w:r>
      <w:r w:rsidRPr="004F0795">
        <w:rPr>
          <w:rFonts w:cs="Times New Roman"/>
          <w:color w:val="000000" w:themeColor="text1"/>
          <w:sz w:val="21"/>
          <w:szCs w:val="21"/>
        </w:rPr>
        <w:t xml:space="preserve"> After 24 h, the cells were collected to check the expression of VP1 using mouse monoclonal antibod</w:t>
      </w:r>
      <w:r w:rsidRPr="004F0795">
        <w:rPr>
          <w:rFonts w:cs="Times New Roman" w:hint="eastAsia"/>
          <w:color w:val="000000" w:themeColor="text1"/>
          <w:sz w:val="21"/>
          <w:szCs w:val="21"/>
        </w:rPr>
        <w:t>y</w:t>
      </w:r>
      <w:r w:rsidRPr="004F0795">
        <w:rPr>
          <w:rFonts w:cs="Times New Roman"/>
          <w:color w:val="000000" w:themeColor="text1"/>
          <w:sz w:val="21"/>
          <w:szCs w:val="21"/>
        </w:rPr>
        <w:t xml:space="preserve"> against</w:t>
      </w:r>
      <w:r>
        <w:rPr>
          <w:rFonts w:cs="Times New Roman"/>
          <w:color w:val="000000" w:themeColor="text1"/>
          <w:sz w:val="21"/>
          <w:szCs w:val="21"/>
        </w:rPr>
        <w:t xml:space="preserve"> </w:t>
      </w:r>
      <w:r w:rsidRPr="000A673F">
        <w:rPr>
          <w:rFonts w:cs="Times New Roman"/>
          <w:color w:val="000000" w:themeColor="text1"/>
          <w:sz w:val="21"/>
          <w:szCs w:val="21"/>
        </w:rPr>
        <w:t>NoV-</w:t>
      </w:r>
      <w:r w:rsidRPr="000A673F">
        <w:rPr>
          <w:rFonts w:cs="Times New Roman"/>
          <w:sz w:val="21"/>
          <w:szCs w:val="21"/>
        </w:rPr>
        <w:t>GⅡ.</w:t>
      </w:r>
      <w:r w:rsidRPr="000A673F">
        <w:rPr>
          <w:rFonts w:cs="Times New Roman" w:hint="eastAsia"/>
          <w:sz w:val="21"/>
          <w:szCs w:val="21"/>
        </w:rPr>
        <w:t>4</w:t>
      </w:r>
      <w:r w:rsidRPr="000A673F">
        <w:rPr>
          <w:rFonts w:cs="Times New Roman"/>
          <w:color w:val="000000" w:themeColor="text1"/>
          <w:sz w:val="21"/>
          <w:szCs w:val="21"/>
        </w:rPr>
        <w:t>-VP1</w:t>
      </w:r>
      <w:r w:rsidRPr="004F0795">
        <w:rPr>
          <w:rFonts w:cs="Times New Roman" w:hint="eastAsia"/>
          <w:color w:val="000000" w:themeColor="text1"/>
          <w:sz w:val="21"/>
          <w:szCs w:val="21"/>
        </w:rPr>
        <w:t xml:space="preserve"> </w:t>
      </w:r>
      <w:r w:rsidRPr="004F0795">
        <w:rPr>
          <w:rFonts w:eastAsia="宋体" w:cs="Times New Roman" w:hint="eastAsia"/>
          <w:sz w:val="21"/>
          <w:szCs w:val="21"/>
        </w:rPr>
        <w:t>(</w:t>
      </w:r>
      <w:r w:rsidRPr="000A673F">
        <w:rPr>
          <w:rFonts w:eastAsia="宋体" w:cs="Times New Roman" w:hint="eastAsia"/>
          <w:b/>
          <w:sz w:val="21"/>
          <w:szCs w:val="21"/>
        </w:rPr>
        <w:t>A1-A3</w:t>
      </w:r>
      <w:r w:rsidRPr="004F0795">
        <w:rPr>
          <w:rFonts w:eastAsia="宋体" w:cs="Times New Roman" w:hint="eastAsia"/>
          <w:sz w:val="21"/>
          <w:szCs w:val="21"/>
        </w:rPr>
        <w:t>)</w:t>
      </w:r>
      <w:r w:rsidRPr="004F0795">
        <w:rPr>
          <w:rFonts w:cs="Times New Roman" w:hint="eastAsia"/>
          <w:color w:val="000000" w:themeColor="text1"/>
          <w:sz w:val="21"/>
          <w:szCs w:val="21"/>
        </w:rPr>
        <w:t xml:space="preserve"> </w:t>
      </w:r>
      <w:r>
        <w:rPr>
          <w:rFonts w:cs="Times New Roman"/>
          <w:color w:val="000000" w:themeColor="text1"/>
          <w:sz w:val="21"/>
          <w:szCs w:val="21"/>
        </w:rPr>
        <w:t>or</w:t>
      </w:r>
      <w:r w:rsidRPr="000A673F">
        <w:rPr>
          <w:rFonts w:cs="Times New Roman"/>
          <w:color w:val="000000" w:themeColor="text1"/>
          <w:sz w:val="21"/>
          <w:szCs w:val="21"/>
        </w:rPr>
        <w:t xml:space="preserve"> </w:t>
      </w:r>
      <w:r w:rsidRPr="004F0795">
        <w:rPr>
          <w:rFonts w:cs="Times New Roman"/>
          <w:color w:val="000000" w:themeColor="text1"/>
          <w:sz w:val="21"/>
          <w:szCs w:val="21"/>
        </w:rPr>
        <w:t>NoV-</w:t>
      </w:r>
      <w:r w:rsidRPr="004F0795">
        <w:rPr>
          <w:rFonts w:cs="Times New Roman"/>
          <w:sz w:val="21"/>
          <w:szCs w:val="21"/>
        </w:rPr>
        <w:t>GⅡ.17</w:t>
      </w:r>
      <w:r w:rsidRPr="004F0795">
        <w:rPr>
          <w:rFonts w:cs="Times New Roman"/>
          <w:color w:val="000000" w:themeColor="text1"/>
          <w:sz w:val="21"/>
          <w:szCs w:val="21"/>
        </w:rPr>
        <w:t>-VP1</w:t>
      </w:r>
      <w:r w:rsidRPr="000A673F">
        <w:rPr>
          <w:rFonts w:cs="Times New Roman"/>
          <w:color w:val="000000" w:themeColor="text1"/>
          <w:sz w:val="21"/>
          <w:szCs w:val="21"/>
        </w:rPr>
        <w:t xml:space="preserve"> (</w:t>
      </w:r>
      <w:r w:rsidRPr="000A673F">
        <w:rPr>
          <w:rFonts w:eastAsia="宋体" w:cs="Times New Roman" w:hint="eastAsia"/>
          <w:b/>
          <w:sz w:val="21"/>
          <w:szCs w:val="21"/>
        </w:rPr>
        <w:t>B1-B3</w:t>
      </w:r>
      <w:r>
        <w:rPr>
          <w:rFonts w:cs="Times New Roman"/>
          <w:color w:val="000000" w:themeColor="text1"/>
          <w:sz w:val="21"/>
          <w:szCs w:val="21"/>
        </w:rPr>
        <w:t xml:space="preserve">) </w:t>
      </w:r>
      <w:r w:rsidRPr="004F0795">
        <w:rPr>
          <w:rFonts w:cs="Times New Roman" w:hint="eastAsia"/>
          <w:color w:val="000000" w:themeColor="text1"/>
          <w:sz w:val="21"/>
          <w:szCs w:val="21"/>
        </w:rPr>
        <w:t>with three repeated assays</w:t>
      </w:r>
      <w:r w:rsidRPr="004F0795">
        <w:rPr>
          <w:rFonts w:eastAsia="宋体" w:cs="Times New Roman"/>
          <w:sz w:val="21"/>
          <w:szCs w:val="21"/>
        </w:rPr>
        <w:t>.</w:t>
      </w:r>
      <w:r w:rsidRPr="004F0795">
        <w:rPr>
          <w:rFonts w:eastAsia="宋体" w:cs="Times New Roman" w:hint="eastAsia"/>
          <w:sz w:val="21"/>
          <w:szCs w:val="21"/>
        </w:rPr>
        <w:t xml:space="preserve"> </w:t>
      </w:r>
      <w:r w:rsidRPr="004F0795">
        <w:rPr>
          <w:rFonts w:eastAsia="宋体" w:cs="Times New Roman"/>
          <w:sz w:val="21"/>
          <w:szCs w:val="21"/>
        </w:rPr>
        <w:t xml:space="preserve">GAPDH </w:t>
      </w:r>
      <w:r w:rsidRPr="004F0795">
        <w:rPr>
          <w:rFonts w:eastAsia="宋体" w:cs="Times New Roman" w:hint="eastAsia"/>
          <w:sz w:val="21"/>
          <w:szCs w:val="21"/>
        </w:rPr>
        <w:t>was</w:t>
      </w:r>
      <w:r w:rsidRPr="004F0795">
        <w:rPr>
          <w:rFonts w:eastAsia="宋体" w:cs="Times New Roman"/>
          <w:sz w:val="21"/>
          <w:szCs w:val="21"/>
        </w:rPr>
        <w:t xml:space="preserve"> used </w:t>
      </w:r>
      <w:r w:rsidRPr="004F0795">
        <w:rPr>
          <w:rFonts w:eastAsia="宋体" w:cs="Times New Roman" w:hint="eastAsia"/>
          <w:sz w:val="21"/>
          <w:szCs w:val="21"/>
        </w:rPr>
        <w:t>as</w:t>
      </w:r>
      <w:r w:rsidRPr="004F0795">
        <w:rPr>
          <w:rFonts w:eastAsia="宋体" w:cs="Times New Roman"/>
          <w:sz w:val="21"/>
          <w:szCs w:val="21"/>
        </w:rPr>
        <w:t xml:space="preserve"> the internal control</w:t>
      </w:r>
      <w:r w:rsidRPr="004F0795">
        <w:rPr>
          <w:rFonts w:eastAsia="宋体" w:cs="Times New Roman" w:hint="eastAsia"/>
          <w:sz w:val="21"/>
          <w:szCs w:val="21"/>
        </w:rPr>
        <w:t xml:space="preserve"> correspondingly</w:t>
      </w:r>
      <w:r w:rsidRPr="004F0795">
        <w:rPr>
          <w:rFonts w:eastAsia="宋体" w:cs="Times New Roman"/>
          <w:sz w:val="21"/>
          <w:szCs w:val="21"/>
        </w:rPr>
        <w:t>.</w:t>
      </w:r>
      <w:r w:rsidRPr="004F0795">
        <w:rPr>
          <w:rFonts w:eastAsia="宋体" w:cs="Times New Roman" w:hint="eastAsia"/>
          <w:sz w:val="21"/>
          <w:szCs w:val="21"/>
        </w:rPr>
        <w:t xml:space="preserve"> </w:t>
      </w:r>
      <w:r w:rsidRPr="004F0795">
        <w:rPr>
          <w:rFonts w:eastAsia="宋体" w:cs="Times New Roman"/>
          <w:sz w:val="21"/>
          <w:szCs w:val="21"/>
        </w:rPr>
        <w:t xml:space="preserve">The relative expression of VP1 </w:t>
      </w:r>
      <w:r w:rsidRPr="004F0795">
        <w:rPr>
          <w:rFonts w:eastAsia="宋体" w:cs="Times New Roman" w:hint="eastAsia"/>
          <w:sz w:val="21"/>
          <w:szCs w:val="21"/>
        </w:rPr>
        <w:t>was</w:t>
      </w:r>
      <w:r w:rsidRPr="004F0795">
        <w:rPr>
          <w:rFonts w:eastAsia="宋体" w:cs="Times New Roman"/>
          <w:sz w:val="21"/>
          <w:szCs w:val="21"/>
        </w:rPr>
        <w:t xml:space="preserve"> compared with the</w:t>
      </w:r>
      <w:r w:rsidRPr="004F0795">
        <w:rPr>
          <w:rFonts w:eastAsia="宋体" w:cs="Times New Roman" w:hint="eastAsia"/>
          <w:sz w:val="21"/>
          <w:szCs w:val="21"/>
        </w:rPr>
        <w:t xml:space="preserve"> corresponding</w:t>
      </w:r>
      <w:r w:rsidRPr="004F0795">
        <w:rPr>
          <w:rFonts w:eastAsia="宋体" w:cs="Times New Roman"/>
          <w:sz w:val="21"/>
          <w:szCs w:val="21"/>
        </w:rPr>
        <w:t xml:space="preserve"> GAPDH</w:t>
      </w:r>
      <w:r w:rsidRPr="004F0795">
        <w:rPr>
          <w:rFonts w:eastAsia="宋体" w:cs="Times New Roman" w:hint="eastAsia"/>
          <w:sz w:val="21"/>
          <w:szCs w:val="21"/>
        </w:rPr>
        <w:t xml:space="preserve"> (</w:t>
      </w:r>
      <w:r w:rsidRPr="000A673F">
        <w:rPr>
          <w:rFonts w:eastAsia="宋体" w:cs="Times New Roman" w:hint="eastAsia"/>
          <w:b/>
          <w:sz w:val="21"/>
          <w:szCs w:val="21"/>
        </w:rPr>
        <w:t>C</w:t>
      </w:r>
      <w:r w:rsidRPr="000A673F">
        <w:rPr>
          <w:rFonts w:eastAsia="宋体" w:cs="Times New Roman"/>
          <w:b/>
          <w:sz w:val="21"/>
          <w:szCs w:val="21"/>
        </w:rPr>
        <w:t>, D</w:t>
      </w:r>
      <w:r w:rsidRPr="004F0795">
        <w:rPr>
          <w:rFonts w:eastAsia="宋体" w:cs="Times New Roman" w:hint="eastAsia"/>
          <w:sz w:val="21"/>
          <w:szCs w:val="21"/>
        </w:rPr>
        <w:t>)</w:t>
      </w:r>
      <w:r w:rsidRPr="004F0795">
        <w:rPr>
          <w:rFonts w:eastAsia="宋体" w:cs="Times New Roman"/>
          <w:sz w:val="21"/>
          <w:szCs w:val="21"/>
        </w:rPr>
        <w:t xml:space="preserve">. </w:t>
      </w:r>
      <w:r w:rsidRPr="004F0795">
        <w:rPr>
          <w:rFonts w:eastAsia="宋体" w:cs="Times New Roman"/>
          <w:color w:val="000000" w:themeColor="text1"/>
          <w:sz w:val="21"/>
          <w:szCs w:val="21"/>
        </w:rPr>
        <w:t>Data was shown as mean</w:t>
      </w:r>
      <w:r w:rsidRPr="004F0795">
        <w:rPr>
          <w:rFonts w:eastAsia="宋体" w:cs="Times New Roman" w:hint="eastAsia"/>
          <w:color w:val="000000" w:themeColor="text1"/>
          <w:sz w:val="21"/>
          <w:szCs w:val="21"/>
        </w:rPr>
        <w:t xml:space="preserve"> </w:t>
      </w:r>
      <w:r w:rsidRPr="004F0795">
        <w:rPr>
          <w:rFonts w:eastAsia="宋体" w:cs="Times New Roman"/>
          <w:color w:val="000000" w:themeColor="text1"/>
          <w:sz w:val="21"/>
          <w:szCs w:val="21"/>
        </w:rPr>
        <w:t xml:space="preserve">± SEM </w:t>
      </w:r>
      <w:r w:rsidRPr="004F0795">
        <w:rPr>
          <w:rFonts w:eastAsia="宋体" w:cs="Times New Roman"/>
          <w:sz w:val="21"/>
          <w:szCs w:val="21"/>
        </w:rPr>
        <w:t>and analyzed using</w:t>
      </w:r>
      <w:r w:rsidRPr="004F0795">
        <w:rPr>
          <w:rFonts w:eastAsia="宋体" w:cs="Times New Roman" w:hint="eastAsia"/>
          <w:sz w:val="21"/>
          <w:szCs w:val="21"/>
        </w:rPr>
        <w:t xml:space="preserve"> a one-way analysis of variance with Tukey's multiple comparison test (</w:t>
      </w:r>
      <w:r w:rsidRPr="004F0795">
        <w:rPr>
          <w:rFonts w:eastAsia="宋体" w:cs="Times New Roman" w:hint="eastAsia"/>
          <w:i/>
          <w:iCs/>
          <w:sz w:val="21"/>
          <w:szCs w:val="21"/>
        </w:rPr>
        <w:t xml:space="preserve">ns, </w:t>
      </w:r>
      <w:r>
        <w:rPr>
          <w:rFonts w:eastAsia="宋体" w:cs="Times New Roman"/>
          <w:i/>
          <w:iCs/>
          <w:sz w:val="21"/>
          <w:szCs w:val="21"/>
        </w:rPr>
        <w:t xml:space="preserve">P </w:t>
      </w:r>
      <w:r w:rsidRPr="004F0795">
        <w:rPr>
          <w:rFonts w:eastAsia="宋体" w:cs="Times New Roman" w:hint="eastAsia"/>
          <w:i/>
          <w:iCs/>
          <w:sz w:val="21"/>
          <w:szCs w:val="21"/>
        </w:rPr>
        <w:t>&gt;</w:t>
      </w:r>
      <w:r>
        <w:rPr>
          <w:rFonts w:eastAsia="宋体" w:cs="Times New Roman"/>
          <w:i/>
          <w:iCs/>
          <w:sz w:val="21"/>
          <w:szCs w:val="21"/>
        </w:rPr>
        <w:t xml:space="preserve"> </w:t>
      </w:r>
      <w:r w:rsidRPr="004F0795">
        <w:rPr>
          <w:rFonts w:eastAsia="宋体" w:cs="Times New Roman" w:hint="eastAsia"/>
          <w:i/>
          <w:iCs/>
          <w:sz w:val="21"/>
          <w:szCs w:val="21"/>
        </w:rPr>
        <w:t>0.05</w:t>
      </w:r>
      <w:r w:rsidRPr="004F0795">
        <w:rPr>
          <w:rFonts w:eastAsia="宋体" w:cs="Times New Roman" w:hint="eastAsia"/>
          <w:sz w:val="21"/>
          <w:szCs w:val="21"/>
        </w:rPr>
        <w:t>).</w:t>
      </w:r>
      <w:r w:rsidRPr="004F0795">
        <w:rPr>
          <w:rFonts w:eastAsia="宋体" w:cs="Times New Roman"/>
          <w:sz w:val="21"/>
          <w:szCs w:val="21"/>
        </w:rPr>
        <w:t xml:space="preserve"> </w:t>
      </w:r>
      <w:r w:rsidRPr="004F0795">
        <w:rPr>
          <w:rFonts w:cs="Times New Roman"/>
          <w:bCs/>
          <w:color w:val="000000" w:themeColor="text1"/>
          <w:sz w:val="21"/>
          <w:szCs w:val="21"/>
        </w:rPr>
        <w:t xml:space="preserve">Expression of VP1 of GII.4 analyzed by Western blot. </w:t>
      </w:r>
    </w:p>
    <w:p w:rsidR="00023E4A" w:rsidRPr="004F0795" w:rsidRDefault="00023E4A" w:rsidP="00023E4A">
      <w:pPr>
        <w:adjustRightInd w:val="0"/>
        <w:snapToGrid w:val="0"/>
        <w:spacing w:before="0" w:after="0" w:line="360" w:lineRule="auto"/>
        <w:jc w:val="both"/>
        <w:rPr>
          <w:rFonts w:cs="Times New Roman"/>
          <w:bCs/>
          <w:color w:val="000000" w:themeColor="text1"/>
          <w:sz w:val="21"/>
          <w:szCs w:val="21"/>
        </w:rPr>
      </w:pPr>
    </w:p>
    <w:p w:rsidR="00023E4A" w:rsidRDefault="00004C61" w:rsidP="00023E4A">
      <w:pPr>
        <w:adjustRightInd w:val="0"/>
        <w:snapToGrid w:val="0"/>
        <w:spacing w:before="0" w:after="0" w:line="360" w:lineRule="auto"/>
        <w:jc w:val="both"/>
        <w:rPr>
          <w:b/>
          <w:sz w:val="22"/>
          <w:highlight w:val="yellow"/>
          <w:lang w:eastAsia="zh-CN"/>
        </w:rPr>
      </w:pPr>
      <w:r w:rsidRPr="00004C61">
        <w:rPr>
          <w:b/>
          <w:noProof/>
          <w:sz w:val="22"/>
          <w:lang w:eastAsia="zh-CN"/>
        </w:rPr>
        <w:drawing>
          <wp:inline distT="0" distB="0" distL="0" distR="0">
            <wp:extent cx="6122670" cy="3649980"/>
            <wp:effectExtent l="0" t="0" r="0" b="7620"/>
            <wp:docPr id="2" name="图片 2" descr="F:\VS 稿件\2024 publication\2024 Issue 4\6585-299-2024.07.002\6585 R3\6585 to prod\6585 supplementary_fi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S 稿件\2024 publication\2024 Issue 4\6585-299-2024.07.002\6585 R3\6585 to prod\6585 supplementary_fig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E4A" w:rsidRDefault="00023E4A" w:rsidP="00023E4A">
      <w:pPr>
        <w:adjustRightInd w:val="0"/>
        <w:snapToGrid w:val="0"/>
        <w:spacing w:before="0" w:after="0" w:line="360" w:lineRule="auto"/>
        <w:jc w:val="both"/>
        <w:rPr>
          <w:rFonts w:cs="Times New Roman"/>
          <w:sz w:val="21"/>
          <w:lang w:eastAsia="zh-CN"/>
        </w:rPr>
      </w:pPr>
      <w:r w:rsidRPr="000A673F">
        <w:rPr>
          <w:rFonts w:hint="eastAsia"/>
          <w:b/>
          <w:sz w:val="22"/>
          <w:lang w:eastAsia="zh-CN"/>
        </w:rPr>
        <w:t>F</w:t>
      </w:r>
      <w:r w:rsidRPr="000A673F">
        <w:rPr>
          <w:b/>
          <w:sz w:val="22"/>
          <w:lang w:eastAsia="zh-CN"/>
        </w:rPr>
        <w:t>ig. S2</w:t>
      </w:r>
      <w:r w:rsidRPr="000A673F">
        <w:rPr>
          <w:rFonts w:hint="eastAsia"/>
          <w:i/>
          <w:iCs/>
          <w:szCs w:val="21"/>
          <w:lang w:eastAsia="zh-CN"/>
        </w:rPr>
        <w:t xml:space="preserve"> </w:t>
      </w:r>
      <w:r w:rsidRPr="000A673F">
        <w:rPr>
          <w:sz w:val="21"/>
          <w:szCs w:val="21"/>
        </w:rPr>
        <w:t>Dynamic changes of IgG antibody levels after i.m. in mice.</w:t>
      </w:r>
      <w:r w:rsidRPr="000A673F">
        <w:rPr>
          <w:rFonts w:cs="Times New Roman"/>
          <w:sz w:val="21"/>
          <w:szCs w:val="21"/>
        </w:rPr>
        <w:t xml:space="preserve"> A-D. Mice were immunized i.m. with the bivalent vaccine AdC68-GI.1-GII.3</w:t>
      </w:r>
      <w:r w:rsidRPr="000A673F">
        <w:rPr>
          <w:rFonts w:cs="Times New Roman" w:hint="eastAsia"/>
          <w:sz w:val="21"/>
          <w:szCs w:val="21"/>
        </w:rPr>
        <w:t xml:space="preserve"> (E1)</w:t>
      </w:r>
      <w:r w:rsidRPr="000A673F">
        <w:rPr>
          <w:rFonts w:cs="Times New Roman"/>
          <w:sz w:val="21"/>
          <w:szCs w:val="21"/>
        </w:rPr>
        <w:t xml:space="preserve"> or AdC68-GII.4-GII.17</w:t>
      </w:r>
      <w:r w:rsidRPr="000A673F">
        <w:rPr>
          <w:rFonts w:cs="Times New Roman" w:hint="eastAsia"/>
          <w:sz w:val="21"/>
          <w:szCs w:val="21"/>
        </w:rPr>
        <w:t xml:space="preserve"> (E3)</w:t>
      </w:r>
      <w:r w:rsidRPr="000A673F">
        <w:rPr>
          <w:rFonts w:eastAsia="宋体" w:cs="Times New Roman"/>
          <w:sz w:val="21"/>
          <w:szCs w:val="21"/>
        </w:rPr>
        <w:t xml:space="preserve">, or the </w:t>
      </w:r>
      <w:r w:rsidRPr="000A673F">
        <w:rPr>
          <w:rFonts w:cs="Times New Roman"/>
          <w:sz w:val="21"/>
          <w:szCs w:val="21"/>
        </w:rPr>
        <w:t>quadrivalent vaccine AdC68-GI.1-GII.3</w:t>
      </w:r>
      <w:r w:rsidRPr="000A673F">
        <w:rPr>
          <w:rFonts w:cs="Times New Roman" w:hint="eastAsia"/>
          <w:sz w:val="21"/>
          <w:szCs w:val="21"/>
        </w:rPr>
        <w:t xml:space="preserve"> (E1)</w:t>
      </w:r>
      <w:r w:rsidRPr="000A673F">
        <w:rPr>
          <w:rFonts w:cs="Times New Roman"/>
          <w:sz w:val="21"/>
          <w:szCs w:val="21"/>
        </w:rPr>
        <w:t>-GII.4-GII.17</w:t>
      </w:r>
      <w:r w:rsidRPr="000A673F">
        <w:rPr>
          <w:rFonts w:cs="Times New Roman" w:hint="eastAsia"/>
          <w:sz w:val="21"/>
          <w:szCs w:val="21"/>
        </w:rPr>
        <w:t xml:space="preserve"> (E3)</w:t>
      </w:r>
      <w:r w:rsidRPr="000A673F">
        <w:rPr>
          <w:rFonts w:cs="Times New Roman"/>
          <w:sz w:val="21"/>
          <w:szCs w:val="21"/>
        </w:rPr>
        <w:t xml:space="preserve"> at a dose of 1 × 10</w:t>
      </w:r>
      <w:r w:rsidRPr="000A673F">
        <w:rPr>
          <w:rFonts w:cs="Times New Roman"/>
          <w:sz w:val="21"/>
          <w:szCs w:val="21"/>
          <w:vertAlign w:val="superscript"/>
        </w:rPr>
        <w:t xml:space="preserve">8 </w:t>
      </w:r>
      <w:r w:rsidRPr="000A673F">
        <w:rPr>
          <w:rFonts w:cs="Times New Roman"/>
          <w:sz w:val="21"/>
          <w:szCs w:val="21"/>
        </w:rPr>
        <w:t>IFU (n=5). At two, four, six, and eight weeks, titers of IgG in serum against VLP-GI.1 (</w:t>
      </w:r>
      <w:r w:rsidRPr="00A11DE0">
        <w:rPr>
          <w:rFonts w:cs="Times New Roman"/>
          <w:b/>
          <w:sz w:val="21"/>
          <w:szCs w:val="21"/>
        </w:rPr>
        <w:t>A</w:t>
      </w:r>
      <w:r w:rsidRPr="000A673F">
        <w:rPr>
          <w:rFonts w:cs="Times New Roman"/>
          <w:sz w:val="21"/>
          <w:szCs w:val="21"/>
        </w:rPr>
        <w:t>), VLP-GII.3 (</w:t>
      </w:r>
      <w:r w:rsidRPr="00A11DE0">
        <w:rPr>
          <w:rFonts w:cs="Times New Roman"/>
          <w:b/>
          <w:sz w:val="21"/>
          <w:szCs w:val="21"/>
        </w:rPr>
        <w:t>B</w:t>
      </w:r>
      <w:r w:rsidRPr="000A673F">
        <w:rPr>
          <w:rFonts w:cs="Times New Roman"/>
          <w:sz w:val="21"/>
          <w:szCs w:val="21"/>
        </w:rPr>
        <w:t>), VLP-GII.4 (</w:t>
      </w:r>
      <w:r w:rsidRPr="00A11DE0">
        <w:rPr>
          <w:rFonts w:cs="Times New Roman"/>
          <w:b/>
          <w:sz w:val="21"/>
          <w:szCs w:val="21"/>
        </w:rPr>
        <w:t>C</w:t>
      </w:r>
      <w:r w:rsidRPr="000A673F">
        <w:rPr>
          <w:rFonts w:cs="Times New Roman"/>
          <w:sz w:val="21"/>
          <w:szCs w:val="21"/>
        </w:rPr>
        <w:t>)</w:t>
      </w:r>
      <w:r w:rsidRPr="000A673F">
        <w:rPr>
          <w:rFonts w:eastAsia="宋体" w:cs="Times New Roman"/>
          <w:sz w:val="21"/>
          <w:szCs w:val="21"/>
        </w:rPr>
        <w:t xml:space="preserve">, and </w:t>
      </w:r>
      <w:r w:rsidRPr="000A673F">
        <w:rPr>
          <w:rFonts w:cs="Times New Roman"/>
          <w:sz w:val="21"/>
          <w:szCs w:val="21"/>
        </w:rPr>
        <w:t>VLP-GII.17 (</w:t>
      </w:r>
      <w:r w:rsidRPr="00A11DE0">
        <w:rPr>
          <w:rFonts w:cs="Times New Roman"/>
          <w:b/>
          <w:sz w:val="21"/>
          <w:szCs w:val="21"/>
        </w:rPr>
        <w:t>D</w:t>
      </w:r>
      <w:r w:rsidRPr="000A673F">
        <w:rPr>
          <w:rFonts w:cs="Times New Roman"/>
          <w:sz w:val="21"/>
          <w:szCs w:val="21"/>
        </w:rPr>
        <w:t>) were determined by ELISA. Ad</w:t>
      </w:r>
      <w:r>
        <w:rPr>
          <w:rFonts w:cs="Times New Roman"/>
          <w:sz w:val="21"/>
          <w:szCs w:val="21"/>
        </w:rPr>
        <w:t>C68-empty was used as a control.</w:t>
      </w:r>
    </w:p>
    <w:p w:rsidR="00B6773F" w:rsidRDefault="00B6773F"/>
    <w:sectPr w:rsidR="00B6773F" w:rsidSect="00023E4A">
      <w:pgSz w:w="11906" w:h="16838"/>
      <w:pgMar w:top="1440" w:right="1080" w:bottom="1440" w:left="108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294" w:rsidRDefault="005F5294" w:rsidP="00023E4A">
      <w:pPr>
        <w:spacing w:before="0" w:after="0"/>
      </w:pPr>
      <w:r>
        <w:separator/>
      </w:r>
    </w:p>
  </w:endnote>
  <w:endnote w:type="continuationSeparator" w:id="0">
    <w:p w:rsidR="005F5294" w:rsidRDefault="005F5294" w:rsidP="00023E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294" w:rsidRDefault="005F5294" w:rsidP="00023E4A">
      <w:pPr>
        <w:spacing w:before="0" w:after="0"/>
      </w:pPr>
      <w:r>
        <w:separator/>
      </w:r>
    </w:p>
  </w:footnote>
  <w:footnote w:type="continuationSeparator" w:id="0">
    <w:p w:rsidR="005F5294" w:rsidRDefault="005F5294" w:rsidP="00023E4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11"/>
    <w:rsid w:val="00004C61"/>
    <w:rsid w:val="00023E4A"/>
    <w:rsid w:val="00024BD9"/>
    <w:rsid w:val="00380D36"/>
    <w:rsid w:val="005F5294"/>
    <w:rsid w:val="00A11DE0"/>
    <w:rsid w:val="00B6773F"/>
    <w:rsid w:val="00DE1384"/>
    <w:rsid w:val="00F9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26E5B-C4BA-4C09-8349-00B94124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4A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E4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23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E4A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23E4A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023E4A"/>
  </w:style>
  <w:style w:type="character" w:styleId="a6">
    <w:name w:val="annotation reference"/>
    <w:basedOn w:val="a0"/>
    <w:autoRedefine/>
    <w:uiPriority w:val="99"/>
    <w:semiHidden/>
    <w:unhideWhenUsed/>
    <w:qFormat/>
    <w:rsid w:val="00023E4A"/>
    <w:rPr>
      <w:sz w:val="16"/>
      <w:szCs w:val="16"/>
    </w:rPr>
  </w:style>
  <w:style w:type="paragraph" w:styleId="a7">
    <w:name w:val="Balloon Text"/>
    <w:basedOn w:val="a"/>
    <w:link w:val="Char1"/>
    <w:uiPriority w:val="99"/>
    <w:semiHidden/>
    <w:unhideWhenUsed/>
    <w:rsid w:val="00DE1384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1384"/>
    <w:rPr>
      <w:rFonts w:ascii="Times New Roman" w:hAnsi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VS</cp:lastModifiedBy>
  <cp:revision>6</cp:revision>
  <cp:lastPrinted>2024-07-19T09:32:00Z</cp:lastPrinted>
  <dcterms:created xsi:type="dcterms:W3CDTF">2024-07-08T16:15:00Z</dcterms:created>
  <dcterms:modified xsi:type="dcterms:W3CDTF">2024-07-23T08:03:00Z</dcterms:modified>
</cp:coreProperties>
</file>